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B4" w:rsidRDefault="00175B20" w:rsidP="00376E03">
      <w:pPr>
        <w:pStyle w:val="Heading1"/>
        <w:tabs>
          <w:tab w:val="left" w:pos="11625"/>
        </w:tabs>
        <w:ind w:left="-851"/>
        <w:jc w:val="center"/>
      </w:pPr>
      <w:r>
        <w:rPr>
          <w:noProof/>
          <w:lang w:eastAsia="en-GB"/>
        </w:rPr>
        <w:pict>
          <v:group id="_x0000_s1026" style="position:absolute;left:0;text-align:left;margin-left:564.75pt;margin-top:-62.15pt;width:143.25pt;height:122.2pt;z-index:251659264" coordorigin="8694,539" coordsize="2340,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054;top:899;width:1440;height:1291">
              <v:imagedata r:id="rId6" o:title=""/>
            </v:shape>
            <v:shapetype id="_x0000_t151" coordsize="21600,21600" o:spt="151" adj="11796480,5400" path="al10800,10800,10800,10800@2@14al10800,10800@0@0@2@14m@25@17l@26@17m@25@18l@26@18al10800,10800@0@0@1@15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sum #1 10800 0"/>
                <v:f eqn="prod @16 1 2"/>
                <v:f eqn="sum 21600 0 @17"/>
                <v:f eqn="sum 10800 0 #1"/>
                <v:f eqn="prod @19 1 2"/>
                <v:f eqn="prod @20 @20 1"/>
                <v:f eqn="prod #1 #1 1"/>
                <v:f eqn="sum @22 0 @21"/>
                <v:f eqn="sqrt @23"/>
                <v:f eqn="sum 10800 0 @24"/>
                <v:f eqn="sum @24 10800 0"/>
                <v:f eqn="val 10800"/>
                <v:f eqn="cos @17 #0"/>
                <v:f eqn="sin @17 #0"/>
                <v:f eqn="sum @28 10800 0"/>
                <v:f eqn="sum @29 10800 0"/>
                <v:f eqn="sum 10800 0 @28"/>
                <v:f eqn="sum 10800 0 @29"/>
              </v:formulas>
              <v:path textpathok="t" o:connecttype="custom" o:connectlocs="10800,0;@30,@31;10800,@19;@32,@31;10800,@17;@25,10800;10800,@18;@26,10800;10800,@16;@30,@33;10800,21600;@32,@33"/>
              <v:textpath on="t" fitshape="t"/>
              <v:handles>
                <v:h position="#1,#0" polar="10800,10800" radiusrange="4320,10800"/>
              </v:handles>
              <o:lock v:ext="edit" text="t" shapetype="t"/>
            </v:shapetype>
            <v:shape id="_x0000_s1028" type="#_x0000_t151" style="position:absolute;left:8694;top:539;width:2340;height:2160" adj="-11301879,7393" fillcolor="black">
              <v:shadow color="#868686"/>
              <v:textpath style="font-family:&quot;Arial&quot;;font-size:10pt;v-text-kern:t" trim="t" fitpath="t" string="The Willows&#10;&#10;Primary School"/>
            </v:shape>
          </v:group>
        </w:pict>
      </w:r>
      <w:r w:rsidR="003D38B4">
        <w:t>Pupil Premium G</w:t>
      </w:r>
      <w:r w:rsidR="003D38B4" w:rsidRPr="0094400D">
        <w:t xml:space="preserve">rant </w:t>
      </w:r>
      <w:r w:rsidR="003D38B4">
        <w:t>E</w:t>
      </w:r>
      <w:r w:rsidR="003D38B4" w:rsidRPr="0094400D">
        <w:t>xpenditure</w:t>
      </w:r>
      <w:r w:rsidR="003D38B4">
        <w:t xml:space="preserve"> 201</w:t>
      </w:r>
      <w:r w:rsidR="00D07A3E">
        <w:t>6</w:t>
      </w:r>
      <w:r w:rsidR="003D38B4">
        <w:t>/1</w:t>
      </w:r>
      <w:r w:rsidR="00D07A3E">
        <w:t>7</w:t>
      </w:r>
    </w:p>
    <w:p w:rsidR="003D38B4" w:rsidRPr="004B60A3" w:rsidRDefault="003D38B4" w:rsidP="00376E03">
      <w:pPr>
        <w:pStyle w:val="Heading1"/>
        <w:jc w:val="center"/>
      </w:pPr>
      <w:r>
        <w:t xml:space="preserve">Report to Governors </w:t>
      </w:r>
      <w:r w:rsidR="00175B20">
        <w:pict>
          <v:rect id="_x0000_i1025" style="width:693pt;height:1pt" o:hrpct="993" o:hralign="center" o:hrstd="t" o:hrnoshade="t" o:hr="t" fillcolor="#0085cf" stroked="f"/>
        </w:pict>
      </w:r>
    </w:p>
    <w:p w:rsidR="003D38B4" w:rsidRDefault="003D38B4" w:rsidP="003D38B4">
      <w:r>
        <w:t>Pupil Premium Grant (PPG)was introduced in 2011 and  is funding received into school annually  for children entitled to free school meals, looked after children (LAC) and children with parents in the armed forces (services children).</w:t>
      </w:r>
    </w:p>
    <w:p w:rsidR="003D38B4" w:rsidRDefault="003D38B4" w:rsidP="003D38B4">
      <w:r>
        <w:t xml:space="preserve">The PPG is additional to main school funding and is used by the school in a variety of ways to impact on pupil attainment and progress helping to remove any barriers to learning. </w:t>
      </w:r>
    </w:p>
    <w:p w:rsidR="003D38B4" w:rsidRDefault="003D38B4" w:rsidP="003D38B4">
      <w:r>
        <w:t xml:space="preserve">The following report provides a summary of how the PPG </w:t>
      </w:r>
      <w:r w:rsidR="00D07A3E">
        <w:t>has been</w:t>
      </w:r>
      <w:r>
        <w:t xml:space="preserve"> allocated for the academic </w:t>
      </w:r>
      <w:r w:rsidR="00376E03">
        <w:t>Y</w:t>
      </w:r>
      <w:r>
        <w:t xml:space="preserve">ear </w:t>
      </w:r>
      <w:r w:rsidR="0080542F">
        <w:t>201</w:t>
      </w:r>
      <w:r w:rsidR="00D07A3E">
        <w:t>6</w:t>
      </w:r>
      <w:r w:rsidR="0080542F">
        <w:t>-201</w:t>
      </w:r>
      <w:r w:rsidR="00D07A3E">
        <w:t>7.</w:t>
      </w:r>
      <w:r w:rsidR="0080542F">
        <w:t xml:space="preserve"> </w:t>
      </w:r>
    </w:p>
    <w:tbl>
      <w:tblPr>
        <w:tblStyle w:val="TableGrid"/>
        <w:tblW w:w="5000" w:type="pct"/>
        <w:tblLook w:val="04A0" w:firstRow="1" w:lastRow="0" w:firstColumn="1" w:lastColumn="0" w:noHBand="0" w:noVBand="1"/>
      </w:tblPr>
      <w:tblGrid>
        <w:gridCol w:w="7608"/>
        <w:gridCol w:w="3098"/>
      </w:tblGrid>
      <w:tr w:rsidR="003D38B4" w:rsidTr="00CD7289">
        <w:tc>
          <w:tcPr>
            <w:tcW w:w="3553" w:type="pct"/>
            <w:shd w:val="clear" w:color="auto" w:fill="B6DDE8"/>
            <w:vAlign w:val="center"/>
          </w:tcPr>
          <w:p w:rsidR="003D38B4" w:rsidRPr="00C85C1B" w:rsidRDefault="003D38B4" w:rsidP="00CD7289">
            <w:pPr>
              <w:jc w:val="center"/>
              <w:rPr>
                <w:rFonts w:asciiTheme="minorHAnsi" w:hAnsiTheme="minorHAnsi"/>
                <w:b/>
                <w:sz w:val="24"/>
                <w:szCs w:val="24"/>
              </w:rPr>
            </w:pPr>
            <w:r w:rsidRPr="00C85C1B">
              <w:rPr>
                <w:rFonts w:asciiTheme="minorHAnsi" w:hAnsiTheme="minorHAnsi"/>
                <w:b/>
                <w:sz w:val="24"/>
                <w:szCs w:val="24"/>
              </w:rPr>
              <w:t>Pupil Premium Grant Summary</w:t>
            </w:r>
          </w:p>
        </w:tc>
        <w:tc>
          <w:tcPr>
            <w:tcW w:w="1447" w:type="pct"/>
            <w:shd w:val="clear" w:color="auto" w:fill="B6DDE8"/>
            <w:vAlign w:val="center"/>
          </w:tcPr>
          <w:p w:rsidR="003D38B4" w:rsidRDefault="003D38B4" w:rsidP="00CD7289">
            <w:pPr>
              <w:jc w:val="center"/>
            </w:pPr>
          </w:p>
        </w:tc>
      </w:tr>
      <w:tr w:rsidR="003D38B4" w:rsidTr="00CD7289">
        <w:tc>
          <w:tcPr>
            <w:tcW w:w="3553" w:type="pct"/>
            <w:vAlign w:val="center"/>
          </w:tcPr>
          <w:p w:rsidR="003D38B4" w:rsidRPr="00C85C1B" w:rsidRDefault="003D38B4" w:rsidP="00CD7289">
            <w:pPr>
              <w:jc w:val="center"/>
              <w:rPr>
                <w:rFonts w:asciiTheme="minorHAnsi" w:hAnsiTheme="minorHAnsi"/>
              </w:rPr>
            </w:pPr>
            <w:r w:rsidRPr="00C85C1B">
              <w:rPr>
                <w:rFonts w:asciiTheme="minorHAnsi" w:hAnsiTheme="minorHAnsi"/>
              </w:rPr>
              <w:t>Number of pupils</w:t>
            </w:r>
          </w:p>
        </w:tc>
        <w:tc>
          <w:tcPr>
            <w:tcW w:w="1447" w:type="pct"/>
            <w:vAlign w:val="center"/>
          </w:tcPr>
          <w:p w:rsidR="003D38B4" w:rsidRPr="00C85C1B" w:rsidRDefault="0080542F" w:rsidP="00175B20">
            <w:pPr>
              <w:jc w:val="center"/>
              <w:rPr>
                <w:rFonts w:asciiTheme="minorHAnsi" w:hAnsiTheme="minorHAnsi"/>
              </w:rPr>
            </w:pPr>
            <w:r w:rsidRPr="00175B20">
              <w:rPr>
                <w:rFonts w:asciiTheme="minorHAnsi" w:hAnsiTheme="minorHAnsi"/>
              </w:rPr>
              <w:t>393</w:t>
            </w:r>
            <w:r w:rsidR="003D38B4" w:rsidRPr="00175B20">
              <w:rPr>
                <w:rFonts w:asciiTheme="minorHAnsi" w:hAnsiTheme="minorHAnsi"/>
              </w:rPr>
              <w:t xml:space="preserve"> </w:t>
            </w:r>
            <w:bookmarkStart w:id="0" w:name="_GoBack"/>
            <w:bookmarkEnd w:id="0"/>
          </w:p>
        </w:tc>
      </w:tr>
      <w:tr w:rsidR="003D38B4" w:rsidTr="00CD7289">
        <w:tc>
          <w:tcPr>
            <w:tcW w:w="3553" w:type="pct"/>
            <w:vAlign w:val="center"/>
          </w:tcPr>
          <w:p w:rsidR="003D38B4" w:rsidRPr="00C85C1B" w:rsidRDefault="003D38B4" w:rsidP="00CD7289">
            <w:pPr>
              <w:jc w:val="center"/>
              <w:rPr>
                <w:rFonts w:asciiTheme="minorHAnsi" w:hAnsiTheme="minorHAnsi"/>
              </w:rPr>
            </w:pPr>
            <w:r w:rsidRPr="00C85C1B">
              <w:rPr>
                <w:rFonts w:asciiTheme="minorHAnsi" w:hAnsiTheme="minorHAnsi"/>
              </w:rPr>
              <w:t>Number of pupils eligible for PPG</w:t>
            </w:r>
          </w:p>
        </w:tc>
        <w:tc>
          <w:tcPr>
            <w:tcW w:w="1447" w:type="pct"/>
            <w:vAlign w:val="center"/>
          </w:tcPr>
          <w:p w:rsidR="003D38B4" w:rsidRPr="00C85C1B" w:rsidRDefault="003D38B4" w:rsidP="00D07A3E">
            <w:pPr>
              <w:jc w:val="center"/>
              <w:rPr>
                <w:rFonts w:asciiTheme="minorHAnsi" w:hAnsiTheme="minorHAnsi"/>
              </w:rPr>
            </w:pPr>
            <w:r w:rsidRPr="00C85C1B">
              <w:rPr>
                <w:rFonts w:asciiTheme="minorHAnsi" w:hAnsiTheme="minorHAnsi"/>
              </w:rPr>
              <w:t>25</w:t>
            </w:r>
            <w:r w:rsidR="00D07A3E">
              <w:rPr>
                <w:rFonts w:asciiTheme="minorHAnsi" w:hAnsiTheme="minorHAnsi"/>
              </w:rPr>
              <w:t>6</w:t>
            </w:r>
            <w:r w:rsidRPr="00C85C1B">
              <w:rPr>
                <w:rFonts w:asciiTheme="minorHAnsi" w:hAnsiTheme="minorHAnsi"/>
              </w:rPr>
              <w:t xml:space="preserve">   </w:t>
            </w:r>
            <w:r>
              <w:rPr>
                <w:rFonts w:asciiTheme="minorHAnsi" w:hAnsiTheme="minorHAnsi"/>
              </w:rPr>
              <w:t>(</w:t>
            </w:r>
            <w:r w:rsidRPr="00C85C1B">
              <w:rPr>
                <w:rFonts w:asciiTheme="minorHAnsi" w:hAnsiTheme="minorHAnsi"/>
              </w:rPr>
              <w:t>64%</w:t>
            </w:r>
            <w:r>
              <w:rPr>
                <w:rFonts w:asciiTheme="minorHAnsi" w:hAnsiTheme="minorHAnsi"/>
              </w:rPr>
              <w:t>)</w:t>
            </w:r>
          </w:p>
        </w:tc>
      </w:tr>
      <w:tr w:rsidR="003D38B4" w:rsidTr="00CD7289">
        <w:tc>
          <w:tcPr>
            <w:tcW w:w="3553" w:type="pct"/>
            <w:vAlign w:val="center"/>
          </w:tcPr>
          <w:p w:rsidR="003D38B4" w:rsidRPr="00C85C1B" w:rsidRDefault="003D38B4" w:rsidP="0080542F">
            <w:pPr>
              <w:jc w:val="center"/>
              <w:rPr>
                <w:rFonts w:asciiTheme="minorHAnsi" w:hAnsiTheme="minorHAnsi"/>
              </w:rPr>
            </w:pPr>
            <w:r w:rsidRPr="00C85C1B">
              <w:rPr>
                <w:rFonts w:asciiTheme="minorHAnsi" w:hAnsiTheme="minorHAnsi"/>
              </w:rPr>
              <w:t>PPG at £13</w:t>
            </w:r>
            <w:r w:rsidR="0080542F">
              <w:rPr>
                <w:rFonts w:asciiTheme="minorHAnsi" w:hAnsiTheme="minorHAnsi"/>
              </w:rPr>
              <w:t>2</w:t>
            </w:r>
            <w:r w:rsidRPr="00C85C1B">
              <w:rPr>
                <w:rFonts w:asciiTheme="minorHAnsi" w:hAnsiTheme="minorHAnsi"/>
              </w:rPr>
              <w:t>0 per pupil</w:t>
            </w:r>
          </w:p>
        </w:tc>
        <w:tc>
          <w:tcPr>
            <w:tcW w:w="1447" w:type="pct"/>
            <w:vAlign w:val="center"/>
          </w:tcPr>
          <w:p w:rsidR="003D38B4" w:rsidRPr="00C85C1B" w:rsidRDefault="003D38B4" w:rsidP="00D07A3E">
            <w:pPr>
              <w:jc w:val="center"/>
              <w:rPr>
                <w:rFonts w:asciiTheme="minorHAnsi" w:hAnsiTheme="minorHAnsi"/>
              </w:rPr>
            </w:pPr>
            <w:r w:rsidRPr="00C85C1B">
              <w:rPr>
                <w:rFonts w:asciiTheme="minorHAnsi" w:hAnsiTheme="minorHAnsi"/>
              </w:rPr>
              <w:t>£</w:t>
            </w:r>
            <w:r w:rsidR="00D07A3E">
              <w:rPr>
                <w:rFonts w:asciiTheme="minorHAnsi" w:hAnsiTheme="minorHAnsi"/>
              </w:rPr>
              <w:t>337,920</w:t>
            </w:r>
          </w:p>
        </w:tc>
      </w:tr>
      <w:tr w:rsidR="003D38B4" w:rsidTr="00CD7289">
        <w:tc>
          <w:tcPr>
            <w:tcW w:w="3553" w:type="pct"/>
            <w:vAlign w:val="center"/>
          </w:tcPr>
          <w:p w:rsidR="003D38B4" w:rsidRPr="00C85C1B" w:rsidRDefault="003D38B4" w:rsidP="00CD7289">
            <w:pPr>
              <w:jc w:val="center"/>
              <w:rPr>
                <w:rFonts w:asciiTheme="minorHAnsi" w:hAnsiTheme="minorHAnsi"/>
              </w:rPr>
            </w:pPr>
            <w:r w:rsidRPr="00C85C1B">
              <w:rPr>
                <w:rFonts w:asciiTheme="minorHAnsi" w:hAnsiTheme="minorHAnsi"/>
              </w:rPr>
              <w:t>Looked after children entitlement  at £1900 per pupil</w:t>
            </w:r>
          </w:p>
        </w:tc>
        <w:tc>
          <w:tcPr>
            <w:tcW w:w="1447" w:type="pct"/>
            <w:vAlign w:val="center"/>
          </w:tcPr>
          <w:p w:rsidR="003D38B4" w:rsidRPr="00C85C1B" w:rsidRDefault="003D38B4" w:rsidP="00D07A3E">
            <w:pPr>
              <w:jc w:val="center"/>
              <w:rPr>
                <w:rFonts w:asciiTheme="minorHAnsi" w:hAnsiTheme="minorHAnsi"/>
              </w:rPr>
            </w:pPr>
            <w:r w:rsidRPr="00C85C1B">
              <w:rPr>
                <w:rFonts w:asciiTheme="minorHAnsi" w:hAnsiTheme="minorHAnsi"/>
              </w:rPr>
              <w:t>£</w:t>
            </w:r>
            <w:r w:rsidR="00D07A3E">
              <w:rPr>
                <w:rFonts w:asciiTheme="minorHAnsi" w:hAnsiTheme="minorHAnsi"/>
              </w:rPr>
              <w:t>7,600</w:t>
            </w:r>
          </w:p>
        </w:tc>
      </w:tr>
      <w:tr w:rsidR="0080542F" w:rsidTr="00CD7289">
        <w:tc>
          <w:tcPr>
            <w:tcW w:w="3553" w:type="pct"/>
            <w:vAlign w:val="center"/>
          </w:tcPr>
          <w:p w:rsidR="0080542F" w:rsidRPr="00C85C1B" w:rsidRDefault="0080542F" w:rsidP="00CD7289">
            <w:pPr>
              <w:jc w:val="center"/>
              <w:rPr>
                <w:rFonts w:asciiTheme="minorHAnsi" w:hAnsiTheme="minorHAnsi"/>
              </w:rPr>
            </w:pPr>
            <w:r>
              <w:rPr>
                <w:rFonts w:asciiTheme="minorHAnsi" w:hAnsiTheme="minorHAnsi"/>
              </w:rPr>
              <w:t>Nursery PP £302 per pupil</w:t>
            </w:r>
          </w:p>
        </w:tc>
        <w:tc>
          <w:tcPr>
            <w:tcW w:w="1447" w:type="pct"/>
            <w:vAlign w:val="center"/>
          </w:tcPr>
          <w:p w:rsidR="0080542F" w:rsidRPr="00C85C1B" w:rsidRDefault="0080542F" w:rsidP="00D07A3E">
            <w:pPr>
              <w:jc w:val="center"/>
              <w:rPr>
                <w:rFonts w:asciiTheme="minorHAnsi" w:hAnsiTheme="minorHAnsi"/>
              </w:rPr>
            </w:pPr>
            <w:r>
              <w:rPr>
                <w:rFonts w:asciiTheme="minorHAnsi" w:hAnsiTheme="minorHAnsi"/>
              </w:rPr>
              <w:t>£</w:t>
            </w:r>
            <w:r w:rsidR="00D07A3E">
              <w:rPr>
                <w:rFonts w:asciiTheme="minorHAnsi" w:hAnsiTheme="minorHAnsi"/>
              </w:rPr>
              <w:t>9,362</w:t>
            </w:r>
          </w:p>
        </w:tc>
      </w:tr>
      <w:tr w:rsidR="003D38B4" w:rsidTr="00CD7289">
        <w:tc>
          <w:tcPr>
            <w:tcW w:w="3553" w:type="pct"/>
            <w:vAlign w:val="center"/>
          </w:tcPr>
          <w:p w:rsidR="003D38B4" w:rsidRPr="00C85C1B" w:rsidRDefault="003D38B4" w:rsidP="00CD7289">
            <w:pPr>
              <w:jc w:val="center"/>
              <w:rPr>
                <w:rFonts w:asciiTheme="minorHAnsi" w:hAnsiTheme="minorHAnsi"/>
              </w:rPr>
            </w:pPr>
            <w:r w:rsidRPr="00C85C1B">
              <w:rPr>
                <w:rFonts w:asciiTheme="minorHAnsi" w:hAnsiTheme="minorHAnsi"/>
              </w:rPr>
              <w:t>Total PPG received</w:t>
            </w:r>
          </w:p>
        </w:tc>
        <w:tc>
          <w:tcPr>
            <w:tcW w:w="1447" w:type="pct"/>
            <w:vAlign w:val="center"/>
          </w:tcPr>
          <w:p w:rsidR="003D38B4" w:rsidRPr="00C85C1B" w:rsidRDefault="003D38B4" w:rsidP="00D07A3E">
            <w:pPr>
              <w:jc w:val="center"/>
              <w:rPr>
                <w:rFonts w:asciiTheme="minorHAnsi" w:hAnsiTheme="minorHAnsi"/>
              </w:rPr>
            </w:pPr>
            <w:r w:rsidRPr="00C85C1B">
              <w:rPr>
                <w:rFonts w:asciiTheme="minorHAnsi" w:hAnsiTheme="minorHAnsi"/>
              </w:rPr>
              <w:t>£</w:t>
            </w:r>
            <w:r w:rsidR="00D07A3E">
              <w:rPr>
                <w:rFonts w:asciiTheme="minorHAnsi" w:hAnsiTheme="minorHAnsi"/>
              </w:rPr>
              <w:t>354,882</w:t>
            </w:r>
            <w:r w:rsidRPr="00C85C1B">
              <w:rPr>
                <w:rFonts w:asciiTheme="minorHAnsi" w:hAnsiTheme="minorHAnsi"/>
              </w:rPr>
              <w:t xml:space="preserve"> </w:t>
            </w:r>
          </w:p>
        </w:tc>
      </w:tr>
      <w:tr w:rsidR="003D38B4" w:rsidTr="00CD7289">
        <w:tc>
          <w:tcPr>
            <w:tcW w:w="3553" w:type="pct"/>
            <w:vAlign w:val="center"/>
          </w:tcPr>
          <w:p w:rsidR="003D38B4" w:rsidRPr="00C85C1B" w:rsidRDefault="003D38B4" w:rsidP="00D07A3E">
            <w:pPr>
              <w:jc w:val="center"/>
              <w:rPr>
                <w:rFonts w:asciiTheme="minorHAnsi" w:hAnsiTheme="minorHAnsi"/>
              </w:rPr>
            </w:pPr>
            <w:r w:rsidRPr="00C85C1B">
              <w:rPr>
                <w:rFonts w:asciiTheme="minorHAnsi" w:hAnsiTheme="minorHAnsi"/>
              </w:rPr>
              <w:t>Total PPG allocated expenditure for 201</w:t>
            </w:r>
            <w:r w:rsidR="00D07A3E">
              <w:rPr>
                <w:rFonts w:asciiTheme="minorHAnsi" w:hAnsiTheme="minorHAnsi"/>
              </w:rPr>
              <w:t>6</w:t>
            </w:r>
            <w:r w:rsidRPr="00C85C1B">
              <w:rPr>
                <w:rFonts w:asciiTheme="minorHAnsi" w:hAnsiTheme="minorHAnsi"/>
              </w:rPr>
              <w:t>/1</w:t>
            </w:r>
            <w:r w:rsidR="00D07A3E">
              <w:rPr>
                <w:rFonts w:asciiTheme="minorHAnsi" w:hAnsiTheme="minorHAnsi"/>
              </w:rPr>
              <w:t>7</w:t>
            </w:r>
          </w:p>
        </w:tc>
        <w:tc>
          <w:tcPr>
            <w:tcW w:w="1447" w:type="pct"/>
            <w:vAlign w:val="center"/>
          </w:tcPr>
          <w:p w:rsidR="003D38B4" w:rsidRPr="00C85C1B" w:rsidRDefault="003D38B4" w:rsidP="0080542F">
            <w:pPr>
              <w:jc w:val="center"/>
              <w:rPr>
                <w:rFonts w:asciiTheme="minorHAnsi" w:hAnsiTheme="minorHAnsi"/>
              </w:rPr>
            </w:pPr>
            <w:r w:rsidRPr="00C85C1B">
              <w:rPr>
                <w:rFonts w:asciiTheme="minorHAnsi" w:hAnsiTheme="minorHAnsi"/>
              </w:rPr>
              <w:t>£</w:t>
            </w:r>
            <w:r w:rsidR="0080542F">
              <w:rPr>
                <w:rFonts w:asciiTheme="minorHAnsi" w:hAnsiTheme="minorHAnsi"/>
              </w:rPr>
              <w:t>341,520</w:t>
            </w:r>
          </w:p>
        </w:tc>
      </w:tr>
      <w:tr w:rsidR="003D38B4" w:rsidTr="00CD7289">
        <w:tc>
          <w:tcPr>
            <w:tcW w:w="3553" w:type="pct"/>
            <w:vAlign w:val="center"/>
          </w:tcPr>
          <w:p w:rsidR="003D38B4" w:rsidRPr="00C85C1B" w:rsidRDefault="003D38B4" w:rsidP="00D07A3E">
            <w:pPr>
              <w:jc w:val="center"/>
              <w:rPr>
                <w:rFonts w:asciiTheme="minorHAnsi" w:hAnsiTheme="minorHAnsi"/>
              </w:rPr>
            </w:pPr>
            <w:r w:rsidRPr="00C85C1B">
              <w:rPr>
                <w:rFonts w:asciiTheme="minorHAnsi" w:hAnsiTheme="minorHAnsi"/>
                <w:b/>
              </w:rPr>
              <w:t>Under</w:t>
            </w:r>
            <w:r w:rsidRPr="00C85C1B">
              <w:rPr>
                <w:rFonts w:asciiTheme="minorHAnsi" w:hAnsiTheme="minorHAnsi"/>
              </w:rPr>
              <w:t>/over spend in 201</w:t>
            </w:r>
            <w:r w:rsidR="00D07A3E">
              <w:rPr>
                <w:rFonts w:asciiTheme="minorHAnsi" w:hAnsiTheme="minorHAnsi"/>
              </w:rPr>
              <w:t>6</w:t>
            </w:r>
            <w:r w:rsidRPr="00C85C1B">
              <w:rPr>
                <w:rFonts w:asciiTheme="minorHAnsi" w:hAnsiTheme="minorHAnsi"/>
              </w:rPr>
              <w:t>/1</w:t>
            </w:r>
            <w:r w:rsidR="00D07A3E">
              <w:rPr>
                <w:rFonts w:asciiTheme="minorHAnsi" w:hAnsiTheme="minorHAnsi"/>
              </w:rPr>
              <w:t>7</w:t>
            </w:r>
          </w:p>
        </w:tc>
        <w:tc>
          <w:tcPr>
            <w:tcW w:w="1447" w:type="pct"/>
            <w:vAlign w:val="center"/>
          </w:tcPr>
          <w:p w:rsidR="003D38B4" w:rsidRPr="00C85C1B" w:rsidRDefault="003D38B4" w:rsidP="00D07A3E">
            <w:pPr>
              <w:jc w:val="center"/>
              <w:rPr>
                <w:rFonts w:asciiTheme="minorHAnsi" w:hAnsiTheme="minorHAnsi"/>
              </w:rPr>
            </w:pPr>
            <w:r w:rsidRPr="00C85C1B">
              <w:rPr>
                <w:rFonts w:asciiTheme="minorHAnsi" w:hAnsiTheme="minorHAnsi"/>
              </w:rPr>
              <w:t>£</w:t>
            </w:r>
            <w:r w:rsidR="00D07A3E">
              <w:rPr>
                <w:rFonts w:asciiTheme="minorHAnsi" w:hAnsiTheme="minorHAnsi"/>
              </w:rPr>
              <w:t>6,661</w:t>
            </w:r>
          </w:p>
        </w:tc>
      </w:tr>
    </w:tbl>
    <w:p w:rsidR="003D38B4" w:rsidRDefault="003D38B4" w:rsidP="003D38B4"/>
    <w:tbl>
      <w:tblPr>
        <w:tblStyle w:val="TableGrid"/>
        <w:tblW w:w="5000" w:type="pct"/>
        <w:tblLook w:val="04A0" w:firstRow="1" w:lastRow="0" w:firstColumn="1" w:lastColumn="0" w:noHBand="0" w:noVBand="1"/>
      </w:tblPr>
      <w:tblGrid>
        <w:gridCol w:w="3771"/>
        <w:gridCol w:w="1972"/>
        <w:gridCol w:w="4963"/>
      </w:tblGrid>
      <w:tr w:rsidR="003D38B4" w:rsidTr="00CD7289">
        <w:tc>
          <w:tcPr>
            <w:tcW w:w="1761" w:type="pct"/>
            <w:shd w:val="clear" w:color="auto" w:fill="B6DDE8"/>
          </w:tcPr>
          <w:p w:rsidR="003D38B4" w:rsidRPr="00C85C1B" w:rsidRDefault="003D38B4" w:rsidP="00CD7289">
            <w:pPr>
              <w:jc w:val="center"/>
              <w:rPr>
                <w:rFonts w:asciiTheme="minorHAnsi" w:hAnsiTheme="minorHAnsi"/>
                <w:b/>
                <w:sz w:val="24"/>
                <w:szCs w:val="24"/>
              </w:rPr>
            </w:pPr>
            <w:r w:rsidRPr="00C85C1B">
              <w:rPr>
                <w:rFonts w:asciiTheme="minorHAnsi" w:hAnsiTheme="minorHAnsi"/>
                <w:b/>
                <w:sz w:val="24"/>
                <w:szCs w:val="24"/>
              </w:rPr>
              <w:t>Expenditure category</w:t>
            </w:r>
          </w:p>
        </w:tc>
        <w:tc>
          <w:tcPr>
            <w:tcW w:w="921" w:type="pct"/>
            <w:shd w:val="clear" w:color="auto" w:fill="B6DDE8"/>
          </w:tcPr>
          <w:p w:rsidR="003D38B4" w:rsidRPr="00C85C1B" w:rsidRDefault="003D38B4" w:rsidP="00CD7289">
            <w:pPr>
              <w:jc w:val="center"/>
              <w:rPr>
                <w:rFonts w:asciiTheme="minorHAnsi" w:hAnsiTheme="minorHAnsi"/>
                <w:b/>
                <w:sz w:val="24"/>
                <w:szCs w:val="24"/>
              </w:rPr>
            </w:pPr>
            <w:r w:rsidRPr="00C85C1B">
              <w:rPr>
                <w:rFonts w:asciiTheme="minorHAnsi" w:hAnsiTheme="minorHAnsi"/>
                <w:b/>
                <w:sz w:val="24"/>
                <w:szCs w:val="24"/>
              </w:rPr>
              <w:t>Allocated expenditure</w:t>
            </w:r>
          </w:p>
        </w:tc>
        <w:tc>
          <w:tcPr>
            <w:tcW w:w="2319" w:type="pct"/>
            <w:shd w:val="clear" w:color="auto" w:fill="B6DDE8"/>
          </w:tcPr>
          <w:p w:rsidR="003D38B4" w:rsidRPr="00C85C1B" w:rsidRDefault="003D38B4" w:rsidP="00CD7289">
            <w:pPr>
              <w:jc w:val="center"/>
              <w:rPr>
                <w:rFonts w:asciiTheme="minorHAnsi" w:hAnsiTheme="minorHAnsi"/>
                <w:b/>
                <w:sz w:val="24"/>
                <w:szCs w:val="24"/>
              </w:rPr>
            </w:pPr>
            <w:r w:rsidRPr="00C85C1B">
              <w:rPr>
                <w:rFonts w:asciiTheme="minorHAnsi" w:hAnsiTheme="minorHAnsi"/>
                <w:b/>
                <w:sz w:val="24"/>
                <w:szCs w:val="24"/>
              </w:rPr>
              <w:t>Strategy for using the funding</w:t>
            </w:r>
          </w:p>
        </w:tc>
      </w:tr>
      <w:tr w:rsidR="003D38B4" w:rsidTr="00CD7289">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Specialist Provision</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66</w:t>
            </w:r>
            <w:r w:rsidR="0080542F">
              <w:rPr>
                <w:rFonts w:asciiTheme="minorHAnsi" w:hAnsiTheme="minorHAnsi"/>
                <w:sz w:val="24"/>
                <w:szCs w:val="24"/>
              </w:rPr>
              <w:t>,</w:t>
            </w:r>
            <w:r w:rsidR="00D07A3E">
              <w:rPr>
                <w:rFonts w:asciiTheme="minorHAnsi" w:hAnsiTheme="minorHAnsi"/>
                <w:sz w:val="24"/>
                <w:szCs w:val="24"/>
              </w:rPr>
              <w:t>980</w:t>
            </w:r>
          </w:p>
        </w:tc>
        <w:tc>
          <w:tcPr>
            <w:tcW w:w="2319"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 xml:space="preserve">To provide a variety of support and input from specialist including speech and language, modern foreign languages, </w:t>
            </w:r>
            <w:r w:rsidR="00E051B4">
              <w:rPr>
                <w:rFonts w:asciiTheme="minorHAnsi" w:hAnsiTheme="minorHAnsi"/>
                <w:sz w:val="24"/>
                <w:szCs w:val="24"/>
              </w:rPr>
              <w:t xml:space="preserve">Singapore Maths, School Nurse and </w:t>
            </w:r>
            <w:r w:rsidRPr="00C85C1B">
              <w:rPr>
                <w:rFonts w:asciiTheme="minorHAnsi" w:hAnsiTheme="minorHAnsi"/>
                <w:sz w:val="24"/>
                <w:szCs w:val="24"/>
              </w:rPr>
              <w:t>Place 2 Be</w:t>
            </w:r>
            <w:r w:rsidR="00E051B4">
              <w:rPr>
                <w:rFonts w:asciiTheme="minorHAnsi" w:hAnsiTheme="minorHAnsi"/>
                <w:sz w:val="24"/>
                <w:szCs w:val="24"/>
              </w:rPr>
              <w:t xml:space="preserve"> for pupils and parents</w:t>
            </w:r>
            <w:r w:rsidRPr="00C85C1B">
              <w:rPr>
                <w:rFonts w:asciiTheme="minorHAnsi" w:hAnsiTheme="minorHAnsi"/>
                <w:sz w:val="24"/>
                <w:szCs w:val="24"/>
              </w:rPr>
              <w:t xml:space="preserve"> focussed on overcoming gaps in pupils learning and raise progress and attainment</w:t>
            </w:r>
          </w:p>
        </w:tc>
      </w:tr>
      <w:tr w:rsidR="003D38B4" w:rsidTr="00CD7289">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Targeted support and intervention</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117,293</w:t>
            </w:r>
          </w:p>
        </w:tc>
        <w:tc>
          <w:tcPr>
            <w:tcW w:w="2319" w:type="pct"/>
          </w:tcPr>
          <w:p w:rsidR="003D38B4" w:rsidRDefault="003D38B4" w:rsidP="00CD7289">
            <w:pPr>
              <w:rPr>
                <w:rFonts w:asciiTheme="minorHAnsi" w:hAnsiTheme="minorHAnsi"/>
                <w:sz w:val="24"/>
                <w:szCs w:val="24"/>
              </w:rPr>
            </w:pPr>
            <w:r w:rsidRPr="00C85C1B">
              <w:rPr>
                <w:rFonts w:asciiTheme="minorHAnsi" w:hAnsiTheme="minorHAnsi"/>
                <w:sz w:val="24"/>
                <w:szCs w:val="24"/>
              </w:rPr>
              <w:t xml:space="preserve">Small group support </w:t>
            </w:r>
            <w:r w:rsidR="00E051B4">
              <w:rPr>
                <w:rFonts w:asciiTheme="minorHAnsi" w:hAnsiTheme="minorHAnsi"/>
                <w:sz w:val="24"/>
                <w:szCs w:val="24"/>
              </w:rPr>
              <w:t xml:space="preserve">across the school from EYFS to Y6 </w:t>
            </w:r>
            <w:r w:rsidRPr="00C85C1B">
              <w:rPr>
                <w:rFonts w:asciiTheme="minorHAnsi" w:hAnsiTheme="minorHAnsi"/>
                <w:sz w:val="24"/>
                <w:szCs w:val="24"/>
              </w:rPr>
              <w:t>which is tailor made to close the gaps in children’s learning to enable them to make improved progress and to raise standards of achievement</w:t>
            </w:r>
            <w:r w:rsidR="00E051B4">
              <w:rPr>
                <w:rFonts w:asciiTheme="minorHAnsi" w:hAnsiTheme="minorHAnsi"/>
                <w:sz w:val="24"/>
                <w:szCs w:val="24"/>
              </w:rPr>
              <w:t>.</w:t>
            </w:r>
            <w:r w:rsidR="00175B20">
              <w:rPr>
                <w:rFonts w:asciiTheme="minorHAnsi" w:hAnsiTheme="minorHAnsi"/>
                <w:sz w:val="24"/>
                <w:szCs w:val="24"/>
              </w:rPr>
              <w:t xml:space="preserve"> Additional class teacher and classroom in Y6</w:t>
            </w:r>
          </w:p>
          <w:p w:rsidR="00E051B4" w:rsidRPr="00C85C1B" w:rsidRDefault="00E051B4" w:rsidP="00E051B4">
            <w:pPr>
              <w:rPr>
                <w:rFonts w:asciiTheme="minorHAnsi" w:hAnsiTheme="minorHAnsi"/>
                <w:sz w:val="24"/>
                <w:szCs w:val="24"/>
              </w:rPr>
            </w:pPr>
            <w:r>
              <w:rPr>
                <w:rFonts w:asciiTheme="minorHAnsi" w:hAnsiTheme="minorHAnsi"/>
                <w:sz w:val="24"/>
                <w:szCs w:val="24"/>
              </w:rPr>
              <w:t>The establishing of a specific Therapeutic Intervention room – The Willow Room</w:t>
            </w:r>
          </w:p>
        </w:tc>
      </w:tr>
      <w:tr w:rsidR="003D38B4" w:rsidTr="00CD7289">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Life skills and experience</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72,826</w:t>
            </w:r>
          </w:p>
        </w:tc>
        <w:tc>
          <w:tcPr>
            <w:tcW w:w="2319" w:type="pct"/>
          </w:tcPr>
          <w:p w:rsidR="003D38B4" w:rsidRPr="00C85C1B" w:rsidRDefault="003D38B4" w:rsidP="00376E03">
            <w:pPr>
              <w:rPr>
                <w:rFonts w:asciiTheme="minorHAnsi" w:hAnsiTheme="minorHAnsi"/>
                <w:sz w:val="24"/>
                <w:szCs w:val="24"/>
              </w:rPr>
            </w:pPr>
            <w:r w:rsidRPr="00C85C1B">
              <w:rPr>
                <w:rFonts w:asciiTheme="minorHAnsi" w:hAnsiTheme="minorHAnsi"/>
                <w:sz w:val="24"/>
                <w:szCs w:val="24"/>
              </w:rPr>
              <w:t>Extending children’s life experiences and enriching the curriculum through trips, residential</w:t>
            </w:r>
            <w:r>
              <w:rPr>
                <w:rFonts w:asciiTheme="minorHAnsi" w:hAnsiTheme="minorHAnsi"/>
                <w:sz w:val="24"/>
                <w:szCs w:val="24"/>
              </w:rPr>
              <w:t xml:space="preserve"> trips</w:t>
            </w:r>
            <w:r w:rsidRPr="00C85C1B">
              <w:rPr>
                <w:rFonts w:asciiTheme="minorHAnsi" w:hAnsiTheme="minorHAnsi"/>
                <w:sz w:val="24"/>
                <w:szCs w:val="24"/>
              </w:rPr>
              <w:t xml:space="preserve"> and visitors. Enriching the curriculum through extending learning beyond the classroom providing a broad, balanced range of </w:t>
            </w:r>
            <w:r w:rsidR="00376E03" w:rsidRPr="00C85C1B">
              <w:rPr>
                <w:rFonts w:asciiTheme="minorHAnsi" w:hAnsiTheme="minorHAnsi"/>
                <w:sz w:val="24"/>
                <w:szCs w:val="24"/>
              </w:rPr>
              <w:t>experiences</w:t>
            </w:r>
            <w:r w:rsidR="00376E03">
              <w:rPr>
                <w:rFonts w:asciiTheme="minorHAnsi" w:hAnsiTheme="minorHAnsi"/>
                <w:sz w:val="24"/>
                <w:szCs w:val="24"/>
              </w:rPr>
              <w:t xml:space="preserve">. </w:t>
            </w:r>
            <w:proofErr w:type="gramStart"/>
            <w:r w:rsidR="00376E03">
              <w:rPr>
                <w:rFonts w:asciiTheme="minorHAnsi" w:hAnsiTheme="minorHAnsi"/>
                <w:sz w:val="24"/>
                <w:szCs w:val="24"/>
              </w:rPr>
              <w:t>e.g</w:t>
            </w:r>
            <w:proofErr w:type="gramEnd"/>
            <w:r w:rsidR="00376E03">
              <w:rPr>
                <w:rFonts w:asciiTheme="minorHAnsi" w:hAnsiTheme="minorHAnsi"/>
                <w:sz w:val="24"/>
                <w:szCs w:val="24"/>
              </w:rPr>
              <w:t>.</w:t>
            </w:r>
            <w:r w:rsidR="00E051B4">
              <w:rPr>
                <w:rFonts w:asciiTheme="minorHAnsi" w:hAnsiTheme="minorHAnsi"/>
                <w:sz w:val="24"/>
                <w:szCs w:val="24"/>
              </w:rPr>
              <w:t xml:space="preserve"> Wild Tribe, </w:t>
            </w:r>
            <w:r w:rsidR="00376E03">
              <w:rPr>
                <w:rFonts w:asciiTheme="minorHAnsi" w:hAnsiTheme="minorHAnsi"/>
                <w:sz w:val="24"/>
                <w:szCs w:val="24"/>
              </w:rPr>
              <w:t>residential visits</w:t>
            </w:r>
            <w:r w:rsidR="00E051B4">
              <w:rPr>
                <w:rFonts w:asciiTheme="minorHAnsi" w:hAnsiTheme="minorHAnsi"/>
                <w:sz w:val="24"/>
                <w:szCs w:val="24"/>
              </w:rPr>
              <w:t xml:space="preserve"> to London and </w:t>
            </w:r>
            <w:proofErr w:type="spellStart"/>
            <w:r w:rsidR="00E051B4">
              <w:rPr>
                <w:rFonts w:asciiTheme="minorHAnsi" w:hAnsiTheme="minorHAnsi"/>
                <w:sz w:val="24"/>
                <w:szCs w:val="24"/>
              </w:rPr>
              <w:t>Ghyll</w:t>
            </w:r>
            <w:proofErr w:type="spellEnd"/>
            <w:r w:rsidR="00E051B4">
              <w:rPr>
                <w:rFonts w:asciiTheme="minorHAnsi" w:hAnsiTheme="minorHAnsi"/>
                <w:sz w:val="24"/>
                <w:szCs w:val="24"/>
              </w:rPr>
              <w:t xml:space="preserve"> Head, garden and chickens</w:t>
            </w:r>
            <w:r w:rsidR="00376E03">
              <w:rPr>
                <w:rFonts w:asciiTheme="minorHAnsi" w:hAnsiTheme="minorHAnsi"/>
                <w:sz w:val="24"/>
                <w:szCs w:val="24"/>
              </w:rPr>
              <w:t>.</w:t>
            </w:r>
          </w:p>
        </w:tc>
      </w:tr>
      <w:tr w:rsidR="003D38B4" w:rsidTr="00175B20">
        <w:trPr>
          <w:trHeight w:val="1542"/>
        </w:trPr>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lastRenderedPageBreak/>
              <w:t>Lunchtime intervention and support</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6,750</w:t>
            </w:r>
          </w:p>
        </w:tc>
        <w:tc>
          <w:tcPr>
            <w:tcW w:w="2319" w:type="pct"/>
          </w:tcPr>
          <w:tbl>
            <w:tblPr>
              <w:tblW w:w="0" w:type="auto"/>
              <w:tblBorders>
                <w:top w:val="nil"/>
                <w:left w:val="nil"/>
                <w:bottom w:val="nil"/>
                <w:right w:val="nil"/>
              </w:tblBorders>
              <w:tblLook w:val="0000" w:firstRow="0" w:lastRow="0" w:firstColumn="0" w:lastColumn="0" w:noHBand="0" w:noVBand="0"/>
            </w:tblPr>
            <w:tblGrid>
              <w:gridCol w:w="4747"/>
            </w:tblGrid>
            <w:tr w:rsidR="00376E03" w:rsidRPr="00376E03">
              <w:trPr>
                <w:trHeight w:val="58"/>
              </w:trPr>
              <w:tc>
                <w:tcPr>
                  <w:tcW w:w="0" w:type="auto"/>
                </w:tcPr>
                <w:p w:rsidR="00376E03" w:rsidRPr="00376E03" w:rsidRDefault="003D38B4" w:rsidP="00376E03">
                  <w:pPr>
                    <w:autoSpaceDE w:val="0"/>
                    <w:autoSpaceDN w:val="0"/>
                    <w:adjustRightInd w:val="0"/>
                    <w:spacing w:after="0" w:line="240" w:lineRule="auto"/>
                    <w:ind w:left="-103"/>
                    <w:rPr>
                      <w:rFonts w:eastAsiaTheme="minorHAnsi" w:cs="Calibri"/>
                      <w:color w:val="000000"/>
                      <w:sz w:val="24"/>
                      <w:szCs w:val="24"/>
                      <w:lang w:eastAsia="en-US"/>
                    </w:rPr>
                  </w:pPr>
                  <w:r w:rsidRPr="00C85C1B">
                    <w:rPr>
                      <w:rFonts w:asciiTheme="minorHAnsi" w:hAnsiTheme="minorHAnsi"/>
                      <w:sz w:val="24"/>
                      <w:szCs w:val="24"/>
                    </w:rPr>
                    <w:t>To ensure that all children feel safe at all times of the day providing rele</w:t>
                  </w:r>
                  <w:r w:rsidR="00376E03">
                    <w:rPr>
                      <w:rFonts w:asciiTheme="minorHAnsi" w:hAnsiTheme="minorHAnsi"/>
                    </w:rPr>
                    <w:t>vant small group or 1:1 support an</w:t>
                  </w:r>
                  <w:r w:rsidR="00376E03">
                    <w:rPr>
                      <w:rFonts w:eastAsiaTheme="minorHAnsi" w:cs="Calibri"/>
                      <w:color w:val="000000"/>
                      <w:sz w:val="24"/>
                      <w:szCs w:val="24"/>
                      <w:lang w:eastAsia="en-US"/>
                    </w:rPr>
                    <w:t xml:space="preserve">d ensures </w:t>
                  </w:r>
                  <w:r w:rsidR="00376E03" w:rsidRPr="00376E03">
                    <w:rPr>
                      <w:rFonts w:eastAsiaTheme="minorHAnsi" w:cs="Calibri"/>
                      <w:color w:val="000000"/>
                      <w:sz w:val="24"/>
                      <w:szCs w:val="24"/>
                      <w:lang w:eastAsia="en-US"/>
                    </w:rPr>
                    <w:t xml:space="preserve">that </w:t>
                  </w:r>
                  <w:r w:rsidR="00376E03">
                    <w:rPr>
                      <w:rFonts w:eastAsiaTheme="minorHAnsi" w:cs="Calibri"/>
                      <w:color w:val="000000"/>
                      <w:sz w:val="24"/>
                      <w:szCs w:val="24"/>
                      <w:lang w:eastAsia="en-US"/>
                    </w:rPr>
                    <w:t>they are able</w:t>
                  </w:r>
                  <w:r w:rsidR="00376E03" w:rsidRPr="00376E03">
                    <w:rPr>
                      <w:rFonts w:eastAsiaTheme="minorHAnsi" w:cs="Calibri"/>
                      <w:color w:val="000000"/>
                      <w:sz w:val="24"/>
                      <w:szCs w:val="24"/>
                      <w:lang w:eastAsia="en-US"/>
                    </w:rPr>
                    <w:t xml:space="preserve"> to get straight onto l</w:t>
                  </w:r>
                  <w:r w:rsidR="00376E03">
                    <w:rPr>
                      <w:rFonts w:eastAsiaTheme="minorHAnsi" w:cs="Calibri"/>
                      <w:color w:val="000000"/>
                      <w:sz w:val="24"/>
                      <w:szCs w:val="24"/>
                      <w:lang w:eastAsia="en-US"/>
                    </w:rPr>
                    <w:t>earning</w:t>
                  </w:r>
                  <w:r w:rsidR="00376E03" w:rsidRPr="00376E03">
                    <w:rPr>
                      <w:rFonts w:eastAsiaTheme="minorHAnsi" w:cs="Calibri"/>
                      <w:color w:val="000000"/>
                      <w:sz w:val="24"/>
                      <w:szCs w:val="24"/>
                      <w:lang w:eastAsia="en-US"/>
                    </w:rPr>
                    <w:t xml:space="preserve"> after lunch</w:t>
                  </w:r>
                </w:p>
              </w:tc>
            </w:tr>
          </w:tbl>
          <w:p w:rsidR="003D38B4" w:rsidRPr="00C85C1B" w:rsidRDefault="003D38B4" w:rsidP="00CD7289">
            <w:pPr>
              <w:rPr>
                <w:rFonts w:asciiTheme="minorHAnsi" w:hAnsiTheme="minorHAnsi"/>
                <w:sz w:val="24"/>
                <w:szCs w:val="24"/>
              </w:rPr>
            </w:pPr>
          </w:p>
        </w:tc>
      </w:tr>
      <w:tr w:rsidR="003D38B4" w:rsidTr="00CD7289">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Every Child a Reader</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39,972</w:t>
            </w:r>
          </w:p>
        </w:tc>
        <w:tc>
          <w:tcPr>
            <w:tcW w:w="2319"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1:1 specialist reading provision for targeted children to improve attainment</w:t>
            </w:r>
            <w:r w:rsidR="00376E03">
              <w:rPr>
                <w:rFonts w:asciiTheme="minorHAnsi" w:hAnsiTheme="minorHAnsi"/>
                <w:sz w:val="24"/>
                <w:szCs w:val="24"/>
              </w:rPr>
              <w:t xml:space="preserve"> and progress</w:t>
            </w:r>
            <w:r w:rsidRPr="00C85C1B">
              <w:rPr>
                <w:rFonts w:asciiTheme="minorHAnsi" w:hAnsiTheme="minorHAnsi"/>
                <w:sz w:val="24"/>
                <w:szCs w:val="24"/>
              </w:rPr>
              <w:t xml:space="preserve"> </w:t>
            </w:r>
          </w:p>
        </w:tc>
      </w:tr>
      <w:tr w:rsidR="003D38B4" w:rsidTr="00CD7289">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Before / after school programme</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10,100</w:t>
            </w:r>
          </w:p>
        </w:tc>
        <w:tc>
          <w:tcPr>
            <w:tcW w:w="2319"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To ensure high quality provision outside of the school day supporting healthy life choices</w:t>
            </w:r>
            <w:r w:rsidR="00376E03">
              <w:rPr>
                <w:rFonts w:asciiTheme="minorHAnsi" w:hAnsiTheme="minorHAnsi"/>
                <w:sz w:val="24"/>
                <w:szCs w:val="24"/>
              </w:rPr>
              <w:t xml:space="preserve"> and supporting children with homework as well as developing problem solving and team work</w:t>
            </w:r>
          </w:p>
        </w:tc>
      </w:tr>
      <w:tr w:rsidR="003D38B4" w:rsidTr="00CD7289">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Parent and community</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18,300</w:t>
            </w:r>
          </w:p>
        </w:tc>
        <w:tc>
          <w:tcPr>
            <w:tcW w:w="2319"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Providing support to families ensuring safeguarding of pupils which impacts directly on Children’s well-being and readiness to learn</w:t>
            </w:r>
            <w:r w:rsidR="00376E03">
              <w:rPr>
                <w:rFonts w:asciiTheme="minorHAnsi" w:hAnsiTheme="minorHAnsi"/>
                <w:sz w:val="24"/>
                <w:szCs w:val="24"/>
              </w:rPr>
              <w:t>. This forms a valuable part of our Early Help initiatives within school</w:t>
            </w:r>
          </w:p>
        </w:tc>
      </w:tr>
      <w:tr w:rsidR="00D07A3E" w:rsidTr="00CD7289">
        <w:tc>
          <w:tcPr>
            <w:tcW w:w="1761" w:type="pct"/>
          </w:tcPr>
          <w:p w:rsidR="00D07A3E" w:rsidRPr="00C85C1B" w:rsidRDefault="00D07A3E" w:rsidP="00CD7289">
            <w:pPr>
              <w:rPr>
                <w:rFonts w:asciiTheme="minorHAnsi" w:hAnsiTheme="minorHAnsi"/>
                <w:sz w:val="24"/>
                <w:szCs w:val="24"/>
              </w:rPr>
            </w:pPr>
            <w:r>
              <w:rPr>
                <w:rFonts w:asciiTheme="minorHAnsi" w:hAnsiTheme="minorHAnsi"/>
                <w:sz w:val="24"/>
                <w:szCs w:val="24"/>
              </w:rPr>
              <w:t>Nursery Resources</w:t>
            </w:r>
          </w:p>
        </w:tc>
        <w:tc>
          <w:tcPr>
            <w:tcW w:w="921" w:type="pct"/>
          </w:tcPr>
          <w:p w:rsidR="00D07A3E" w:rsidRPr="00C85C1B" w:rsidRDefault="00D07A3E" w:rsidP="00D07A3E">
            <w:pPr>
              <w:jc w:val="right"/>
              <w:rPr>
                <w:rFonts w:asciiTheme="minorHAnsi" w:hAnsiTheme="minorHAnsi"/>
                <w:sz w:val="24"/>
                <w:szCs w:val="24"/>
              </w:rPr>
            </w:pPr>
            <w:r>
              <w:rPr>
                <w:rFonts w:asciiTheme="minorHAnsi" w:hAnsiTheme="minorHAnsi"/>
                <w:sz w:val="24"/>
                <w:szCs w:val="24"/>
              </w:rPr>
              <w:t>£4,000</w:t>
            </w:r>
          </w:p>
        </w:tc>
        <w:tc>
          <w:tcPr>
            <w:tcW w:w="2319" w:type="pct"/>
          </w:tcPr>
          <w:p w:rsidR="00D07A3E" w:rsidRPr="00C85C1B" w:rsidRDefault="00D07A3E" w:rsidP="00CD7289">
            <w:pPr>
              <w:rPr>
                <w:rFonts w:asciiTheme="minorHAnsi" w:hAnsiTheme="minorHAnsi"/>
                <w:sz w:val="24"/>
                <w:szCs w:val="24"/>
              </w:rPr>
            </w:pPr>
          </w:p>
        </w:tc>
      </w:tr>
      <w:tr w:rsidR="003D38B4" w:rsidTr="00CD7289">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PE kits, Uniform</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8,000</w:t>
            </w:r>
          </w:p>
        </w:tc>
        <w:tc>
          <w:tcPr>
            <w:tcW w:w="2319"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To ensure that all children are equipped to enable them to participate fully in school life</w:t>
            </w:r>
          </w:p>
        </w:tc>
      </w:tr>
      <w:tr w:rsidR="003D38B4" w:rsidTr="00CD7289">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Gifted and Talented</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1</w:t>
            </w:r>
            <w:r w:rsidR="00376E03">
              <w:rPr>
                <w:rFonts w:asciiTheme="minorHAnsi" w:hAnsiTheme="minorHAnsi"/>
                <w:sz w:val="24"/>
                <w:szCs w:val="24"/>
              </w:rPr>
              <w:t>,000</w:t>
            </w:r>
          </w:p>
        </w:tc>
        <w:tc>
          <w:tcPr>
            <w:tcW w:w="2319" w:type="pct"/>
          </w:tcPr>
          <w:p w:rsidR="003D38B4" w:rsidRPr="00C85C1B" w:rsidRDefault="003D38B4" w:rsidP="00376E03">
            <w:pPr>
              <w:rPr>
                <w:rFonts w:asciiTheme="minorHAnsi" w:hAnsiTheme="minorHAnsi"/>
                <w:sz w:val="24"/>
                <w:szCs w:val="24"/>
              </w:rPr>
            </w:pPr>
            <w:r w:rsidRPr="00C85C1B">
              <w:rPr>
                <w:rFonts w:asciiTheme="minorHAnsi" w:hAnsiTheme="minorHAnsi"/>
                <w:sz w:val="24"/>
                <w:szCs w:val="24"/>
              </w:rPr>
              <w:t>Proving opportunities for able pupils to develop talents and ensure they achieve their true potential</w:t>
            </w:r>
            <w:r>
              <w:rPr>
                <w:rFonts w:asciiTheme="minorHAnsi" w:hAnsiTheme="minorHAnsi"/>
                <w:sz w:val="24"/>
                <w:szCs w:val="24"/>
              </w:rPr>
              <w:t xml:space="preserve"> in cooperati</w:t>
            </w:r>
            <w:r w:rsidR="00376E03">
              <w:rPr>
                <w:rFonts w:asciiTheme="minorHAnsi" w:hAnsiTheme="minorHAnsi"/>
                <w:sz w:val="24"/>
                <w:szCs w:val="24"/>
              </w:rPr>
              <w:t xml:space="preserve">on with MGS, </w:t>
            </w:r>
            <w:r>
              <w:rPr>
                <w:rFonts w:asciiTheme="minorHAnsi" w:hAnsiTheme="minorHAnsi"/>
                <w:sz w:val="24"/>
                <w:szCs w:val="24"/>
              </w:rPr>
              <w:t>Lifestyle Centre</w:t>
            </w:r>
            <w:r w:rsidR="00376E03">
              <w:rPr>
                <w:rFonts w:asciiTheme="minorHAnsi" w:hAnsiTheme="minorHAnsi"/>
                <w:sz w:val="24"/>
                <w:szCs w:val="24"/>
              </w:rPr>
              <w:t xml:space="preserve"> and other partners</w:t>
            </w:r>
          </w:p>
        </w:tc>
      </w:tr>
      <w:tr w:rsidR="003D38B4" w:rsidTr="00CD7289">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Looked After Children</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7,600</w:t>
            </w:r>
          </w:p>
        </w:tc>
        <w:tc>
          <w:tcPr>
            <w:tcW w:w="2319" w:type="pct"/>
          </w:tcPr>
          <w:p w:rsidR="003D38B4" w:rsidRPr="00C85C1B" w:rsidRDefault="003D38B4" w:rsidP="00376E03">
            <w:pPr>
              <w:rPr>
                <w:rFonts w:asciiTheme="minorHAnsi" w:hAnsiTheme="minorHAnsi"/>
                <w:sz w:val="24"/>
                <w:szCs w:val="24"/>
              </w:rPr>
            </w:pPr>
            <w:r w:rsidRPr="00C85C1B">
              <w:rPr>
                <w:rFonts w:asciiTheme="minorHAnsi" w:hAnsiTheme="minorHAnsi"/>
                <w:sz w:val="24"/>
                <w:szCs w:val="24"/>
              </w:rPr>
              <w:t xml:space="preserve">To provide agreed support to improve </w:t>
            </w:r>
            <w:r>
              <w:rPr>
                <w:rFonts w:asciiTheme="minorHAnsi" w:hAnsiTheme="minorHAnsi"/>
                <w:sz w:val="24"/>
                <w:szCs w:val="24"/>
              </w:rPr>
              <w:t xml:space="preserve">achievement </w:t>
            </w:r>
            <w:r w:rsidR="00376E03">
              <w:rPr>
                <w:rFonts w:asciiTheme="minorHAnsi" w:hAnsiTheme="minorHAnsi"/>
                <w:sz w:val="24"/>
                <w:szCs w:val="24"/>
              </w:rPr>
              <w:t>of Looked After Children as specified within their PEP</w:t>
            </w:r>
          </w:p>
        </w:tc>
      </w:tr>
      <w:tr w:rsidR="003D38B4" w:rsidTr="00CD7289">
        <w:tc>
          <w:tcPr>
            <w:tcW w:w="1761"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 xml:space="preserve">Attendance and punctuality </w:t>
            </w:r>
          </w:p>
        </w:tc>
        <w:tc>
          <w:tcPr>
            <w:tcW w:w="921" w:type="pct"/>
          </w:tcPr>
          <w:p w:rsidR="003D38B4" w:rsidRPr="00C85C1B" w:rsidRDefault="003D38B4" w:rsidP="00D07A3E">
            <w:pPr>
              <w:jc w:val="right"/>
              <w:rPr>
                <w:rFonts w:asciiTheme="minorHAnsi" w:hAnsiTheme="minorHAnsi"/>
                <w:sz w:val="24"/>
                <w:szCs w:val="24"/>
              </w:rPr>
            </w:pPr>
            <w:r w:rsidRPr="00C85C1B">
              <w:rPr>
                <w:rFonts w:asciiTheme="minorHAnsi" w:hAnsiTheme="minorHAnsi"/>
                <w:sz w:val="24"/>
                <w:szCs w:val="24"/>
              </w:rPr>
              <w:t>£</w:t>
            </w:r>
            <w:r w:rsidR="00D07A3E">
              <w:rPr>
                <w:rFonts w:asciiTheme="minorHAnsi" w:hAnsiTheme="minorHAnsi"/>
                <w:sz w:val="24"/>
                <w:szCs w:val="24"/>
              </w:rPr>
              <w:t>3,000</w:t>
            </w:r>
          </w:p>
        </w:tc>
        <w:tc>
          <w:tcPr>
            <w:tcW w:w="2319" w:type="pct"/>
          </w:tcPr>
          <w:p w:rsidR="003D38B4" w:rsidRPr="00C85C1B" w:rsidRDefault="003D38B4" w:rsidP="00CD7289">
            <w:pPr>
              <w:rPr>
                <w:rFonts w:asciiTheme="minorHAnsi" w:hAnsiTheme="minorHAnsi"/>
                <w:sz w:val="24"/>
                <w:szCs w:val="24"/>
              </w:rPr>
            </w:pPr>
            <w:r w:rsidRPr="00C85C1B">
              <w:rPr>
                <w:rFonts w:asciiTheme="minorHAnsi" w:hAnsiTheme="minorHAnsi"/>
                <w:sz w:val="24"/>
                <w:szCs w:val="24"/>
              </w:rPr>
              <w:t>Providing support to families and staff, ensuring all children are in school every day and on time to access the curriculum and maximise learning.</w:t>
            </w:r>
          </w:p>
        </w:tc>
      </w:tr>
    </w:tbl>
    <w:p w:rsidR="003D38B4" w:rsidRDefault="003D38B4" w:rsidP="003D38B4"/>
    <w:p w:rsidR="003D38B4" w:rsidRDefault="003D38B4" w:rsidP="003D38B4">
      <w:pPr>
        <w:rPr>
          <w:b/>
          <w:bCs/>
          <w:sz w:val="24"/>
          <w:szCs w:val="24"/>
        </w:rPr>
      </w:pPr>
    </w:p>
    <w:p w:rsidR="003D38B4" w:rsidRDefault="003D38B4" w:rsidP="003D38B4">
      <w:pPr>
        <w:rPr>
          <w:b/>
          <w:bCs/>
          <w:sz w:val="24"/>
          <w:szCs w:val="24"/>
        </w:rPr>
      </w:pPr>
    </w:p>
    <w:p w:rsidR="003D38B4" w:rsidRDefault="003D38B4" w:rsidP="003D38B4">
      <w:pPr>
        <w:rPr>
          <w:b/>
          <w:bCs/>
          <w:sz w:val="24"/>
          <w:szCs w:val="24"/>
        </w:rPr>
      </w:pPr>
    </w:p>
    <w:p w:rsidR="003D38B4" w:rsidRDefault="003D38B4" w:rsidP="003D38B4">
      <w:pPr>
        <w:rPr>
          <w:b/>
          <w:bCs/>
          <w:sz w:val="24"/>
          <w:szCs w:val="24"/>
        </w:rPr>
      </w:pPr>
    </w:p>
    <w:p w:rsidR="003D38B4" w:rsidRDefault="003D38B4" w:rsidP="003D38B4">
      <w:pPr>
        <w:rPr>
          <w:b/>
          <w:bCs/>
          <w:sz w:val="24"/>
          <w:szCs w:val="24"/>
        </w:rPr>
      </w:pPr>
    </w:p>
    <w:p w:rsidR="003D38B4" w:rsidRDefault="003D38B4" w:rsidP="003D38B4">
      <w:pPr>
        <w:rPr>
          <w:b/>
          <w:bCs/>
          <w:sz w:val="24"/>
          <w:szCs w:val="24"/>
        </w:rPr>
      </w:pPr>
    </w:p>
    <w:p w:rsidR="003D38B4" w:rsidRDefault="003D38B4" w:rsidP="003D38B4">
      <w:pPr>
        <w:rPr>
          <w:b/>
          <w:bCs/>
          <w:sz w:val="24"/>
          <w:szCs w:val="24"/>
        </w:rPr>
      </w:pPr>
    </w:p>
    <w:p w:rsidR="003D38B4" w:rsidRDefault="003D38B4" w:rsidP="003D38B4">
      <w:pPr>
        <w:rPr>
          <w:b/>
          <w:bCs/>
          <w:sz w:val="24"/>
          <w:szCs w:val="24"/>
        </w:rPr>
      </w:pPr>
    </w:p>
    <w:p w:rsidR="003D38B4" w:rsidRDefault="003D38B4" w:rsidP="003D38B4">
      <w:pPr>
        <w:rPr>
          <w:b/>
          <w:bCs/>
          <w:sz w:val="24"/>
          <w:szCs w:val="24"/>
        </w:rPr>
      </w:pPr>
    </w:p>
    <w:p w:rsidR="003D38B4" w:rsidRDefault="003D38B4" w:rsidP="003D38B4">
      <w:pPr>
        <w:rPr>
          <w:b/>
          <w:bCs/>
          <w:sz w:val="24"/>
          <w:szCs w:val="24"/>
        </w:rPr>
      </w:pPr>
    </w:p>
    <w:p w:rsidR="003D38B4" w:rsidRDefault="003D38B4" w:rsidP="003D38B4">
      <w:pPr>
        <w:rPr>
          <w:b/>
          <w:bCs/>
          <w:sz w:val="24"/>
          <w:szCs w:val="24"/>
        </w:rPr>
      </w:pPr>
    </w:p>
    <w:sectPr w:rsidR="003D38B4" w:rsidSect="00376E03">
      <w:pgSz w:w="11906" w:h="16838"/>
      <w:pgMar w:top="426"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D9F"/>
    <w:multiLevelType w:val="hybridMultilevel"/>
    <w:tmpl w:val="0F963780"/>
    <w:lvl w:ilvl="0" w:tplc="FF80904E">
      <w:start w:val="2"/>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F3DD0"/>
    <w:multiLevelType w:val="hybridMultilevel"/>
    <w:tmpl w:val="109EF04A"/>
    <w:lvl w:ilvl="0" w:tplc="FF80904E">
      <w:start w:val="2"/>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D6F18"/>
    <w:multiLevelType w:val="hybridMultilevel"/>
    <w:tmpl w:val="5DEA7826"/>
    <w:lvl w:ilvl="0" w:tplc="FF80904E">
      <w:start w:val="2"/>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013DAB"/>
    <w:multiLevelType w:val="hybridMultilevel"/>
    <w:tmpl w:val="DF62524A"/>
    <w:lvl w:ilvl="0" w:tplc="FF80904E">
      <w:start w:val="2"/>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DA5DA0"/>
    <w:multiLevelType w:val="hybridMultilevel"/>
    <w:tmpl w:val="2FB0E4E4"/>
    <w:lvl w:ilvl="0" w:tplc="FF80904E">
      <w:start w:val="2"/>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B4"/>
    <w:rsid w:val="0014022D"/>
    <w:rsid w:val="00175B20"/>
    <w:rsid w:val="00353AD7"/>
    <w:rsid w:val="00376E03"/>
    <w:rsid w:val="003D38B4"/>
    <w:rsid w:val="0080542F"/>
    <w:rsid w:val="00864C9C"/>
    <w:rsid w:val="00D07A3E"/>
    <w:rsid w:val="00D75E58"/>
    <w:rsid w:val="00E0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B4"/>
    <w:rPr>
      <w:rFonts w:ascii="Calibri" w:eastAsia="Times New Roman" w:hAnsi="Calibri" w:cs="Times New Roman"/>
      <w:lang w:eastAsia="en-GB"/>
    </w:rPr>
  </w:style>
  <w:style w:type="paragraph" w:styleId="Heading1">
    <w:name w:val="heading 1"/>
    <w:basedOn w:val="Normal"/>
    <w:next w:val="Normal"/>
    <w:link w:val="Heading1Char"/>
    <w:uiPriority w:val="99"/>
    <w:qFormat/>
    <w:rsid w:val="003D38B4"/>
    <w:pPr>
      <w:outlineLvl w:val="0"/>
    </w:pPr>
    <w:rPr>
      <w:rFonts w:ascii="Arial" w:hAnsi="Arial" w:cs="Arial"/>
      <w:color w:val="0085CF"/>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38B4"/>
    <w:rPr>
      <w:rFonts w:ascii="Arial" w:eastAsia="Times New Roman" w:hAnsi="Arial" w:cs="Arial"/>
      <w:color w:val="0085CF"/>
      <w:sz w:val="36"/>
      <w:szCs w:val="36"/>
    </w:rPr>
  </w:style>
  <w:style w:type="table" w:styleId="TableGrid">
    <w:name w:val="Table Grid"/>
    <w:basedOn w:val="TableNormal"/>
    <w:uiPriority w:val="59"/>
    <w:rsid w:val="003D38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E0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B4"/>
    <w:rPr>
      <w:rFonts w:ascii="Calibri" w:eastAsia="Times New Roman" w:hAnsi="Calibri" w:cs="Times New Roman"/>
      <w:lang w:eastAsia="en-GB"/>
    </w:rPr>
  </w:style>
  <w:style w:type="paragraph" w:styleId="Heading1">
    <w:name w:val="heading 1"/>
    <w:basedOn w:val="Normal"/>
    <w:next w:val="Normal"/>
    <w:link w:val="Heading1Char"/>
    <w:uiPriority w:val="99"/>
    <w:qFormat/>
    <w:rsid w:val="003D38B4"/>
    <w:pPr>
      <w:outlineLvl w:val="0"/>
    </w:pPr>
    <w:rPr>
      <w:rFonts w:ascii="Arial" w:hAnsi="Arial" w:cs="Arial"/>
      <w:color w:val="0085CF"/>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38B4"/>
    <w:rPr>
      <w:rFonts w:ascii="Arial" w:eastAsia="Times New Roman" w:hAnsi="Arial" w:cs="Arial"/>
      <w:color w:val="0085CF"/>
      <w:sz w:val="36"/>
      <w:szCs w:val="36"/>
    </w:rPr>
  </w:style>
  <w:style w:type="table" w:styleId="TableGrid">
    <w:name w:val="Table Grid"/>
    <w:basedOn w:val="TableNormal"/>
    <w:uiPriority w:val="59"/>
    <w:rsid w:val="003D38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E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2016-10-30T19:21:00Z</dcterms:created>
  <dcterms:modified xsi:type="dcterms:W3CDTF">2016-10-31T16:41:00Z</dcterms:modified>
</cp:coreProperties>
</file>